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КОПИЯ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 xml:space="preserve">02-0002/2615/2024 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УИД: 86MS0079-01-2023-011313-70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Панков А.Ю.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секретаре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ебного заседания Кондратьевой Н.А.,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в открытом судебном заседании 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>овому заявлению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"Феникс" к Качалов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ст.ст. 167, 194-199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Гражданского процессуального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</w:t>
      </w:r>
    </w:p>
    <w:p>
      <w:pPr>
        <w:spacing w:before="0" w:after="0"/>
        <w:ind w:firstLine="708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удовлетворении исковых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Феникс" к Качалову Владимиру Ивановичу о взыскании задолженности по кредитному договору 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– отказать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истечением срока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исковой </w:t>
      </w:r>
      <w:r>
        <w:rPr>
          <w:rFonts w:ascii="Times New Roman" w:eastAsia="Times New Roman" w:hAnsi="Times New Roman" w:cs="Times New Roman"/>
          <w:sz w:val="28"/>
          <w:szCs w:val="28"/>
        </w:rPr>
        <w:t>давности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21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</w:t>
      </w:r>
      <w:r>
        <w:rPr>
          <w:rFonts w:ascii="Times New Roman" w:eastAsia="Times New Roman" w:hAnsi="Times New Roman" w:cs="Times New Roman"/>
          <w:sz w:val="28"/>
          <w:szCs w:val="28"/>
        </w:rPr>
        <w:t>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 w:line="21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Сургутский городской суд ХМАО-Югры в течение месяца со дня принятия решения суда в окончательной форме, путем подачи апелляционной жалобы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>вого судью судебного участка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ХМАО-Югры.</w:t>
      </w:r>
    </w:p>
    <w:p>
      <w:pPr>
        <w:spacing w:before="0" w:after="0" w:line="216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16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16" w:lineRule="auto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UserDefinedgrp-1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А.Ю. Панков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UserDefinedgrp-12rplc-12"/>
          <w:rFonts w:ascii="Times New Roman" w:eastAsia="Times New Roman" w:hAnsi="Times New Roman" w:cs="Times New Roman"/>
          <w:sz w:val="22"/>
          <w:szCs w:val="22"/>
        </w:rPr>
        <w:t>...</w:t>
      </w:r>
    </w:p>
    <w:p>
      <w:pPr>
        <w:spacing w:before="0" w:after="0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1rplc-10">
    <w:name w:val="cat-UserDefined grp-11 rplc-10"/>
    <w:basedOn w:val="DefaultParagraphFont"/>
  </w:style>
  <w:style w:type="character" w:customStyle="1" w:styleId="cat-UserDefinedgrp-12rplc-12">
    <w:name w:val="cat-UserDefined grp-12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